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val="0"/>
          <w:bCs w:val="0"/>
          <w:kern w:val="0"/>
          <w:sz w:val="30"/>
          <w:szCs w:val="30"/>
        </w:rPr>
      </w:pPr>
      <w:r>
        <w:rPr>
          <w:rFonts w:ascii="宋体" w:hAnsi="宋体" w:cs="宋体"/>
          <w:b w:val="0"/>
          <w:bCs w:val="0"/>
          <w:kern w:val="0"/>
          <w:sz w:val="30"/>
          <w:szCs w:val="30"/>
        </w:rPr>
        <w:t>公共管理硕士专业学位研究生指导性培养方案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2019年5月27日</w:t>
      </w:r>
    </w:p>
    <w:p>
      <w:pPr>
        <w:widowControl/>
        <w:spacing w:line="360" w:lineRule="auto"/>
        <w:jc w:val="left"/>
        <w:rPr>
          <w:rFonts w:hint="eastAsia" w:ascii="宋体" w:hAnsi="宋体" w:eastAsia="宋体" w:cs="宋体"/>
          <w:kern w:val="0"/>
          <w:sz w:val="24"/>
          <w:szCs w:val="24"/>
        </w:rPr>
      </w:pPr>
    </w:p>
    <w:p>
      <w:pPr>
        <w:widowControl/>
        <w:spacing w:line="360" w:lineRule="auto"/>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公共管理硕士（MPA）专业学位研究生教育是为适应不断发展的公共管理现代化、科学化、专业化的迫切需求，完善公共管理人才培养体系，创新公共管理人才培养模式，提高公共管理人才培养质量而设立的。</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一、培养目标</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二、招生类型及报考资格</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招生类型为“全日制”和“非全日制”，学生通过“全国硕士研究生统一入学考试”招收。</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报考资格以教育行政管理部门当年有关文件为准。一般要求具有大学本科学历和三年（含三年）以上实际工作经历。</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三、学习方式与年限</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入学的学生可以选择“脱产”或“非脱产”方式进行学习。具体学习方式由各培养院校根据实际情况安排。</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学习年限为2至4年。</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四、学分要求与课程设置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学生培养实行学分制，总学分不少于36学分。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课程设置突出理论与实践相结合的原则，分为核心课、专业方向必修课、选修课和社会实践四方面基本模块。其中，核心课不少于19学分，专业方向必修课不少于8学分，选修课不少于7学分，社会实践为2学分。课程学习中，每个学分学习时间不少于16课时。</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1.核心课是学生必修课程。“核心课程目录”共列13门课，其中，“中国特色社会主义理论与实践研究”、“外国语”和“学术规范和论文写作”为学位教育必设课程； “公共管理”、“公共政策分析”和“社会研究方法”是本专业必设核心课程；其他核心课程，由各培养院校从“核心课程目录”中选择开设。</w:t>
      </w:r>
    </w:p>
    <w:p>
      <w:pPr>
        <w:widowControl/>
        <w:jc w:val="left"/>
        <w:rPr>
          <w:rFonts w:ascii="宋体" w:hAnsi="宋体" w:cs="宋体"/>
          <w:kern w:val="0"/>
        </w:rPr>
      </w:pPr>
      <w:r>
        <w:rPr>
          <w:rFonts w:ascii="宋体" w:hAnsi="宋体" w:cs="宋体"/>
          <w:kern w:val="0"/>
        </w:rPr>
        <mc:AlternateContent>
          <mc:Choice Requires="wps">
            <w:drawing>
              <wp:inline distT="0" distB="0" distL="0" distR="0">
                <wp:extent cx="304800" cy="304800"/>
                <wp:effectExtent l="0" t="0" r="0" b="0"/>
                <wp:docPr id="1" name="矩形 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data:image/gif;base64,iVBORw0KGgoAAAANSUhEUgAAAAEAAAABCAYAAAAfFcSJAAAADUlEQVQImWNgYGBgAAAABQABh6FO1AAAAABJRU5ErkJgg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8yWdNIAAAADAQAADwAAAAAAAAAB&#10;ACAAAAAiAAAAZHJzL2Rvd25yZXYueG1sUEsBAhQAFAAAAAgAh07iQKK6adpPAgAAQAQAAA4AAAAA&#10;AAAAAQAgAAAAIQEAAGRycy9lMm9Eb2MueG1sUEsFBgAAAAAGAAYAWQEAAOIFAAAAAA==&#10;">
                <v:fill on="f" focussize="0,0"/>
                <v:stroke on="f"/>
                <v:imagedata o:title=""/>
                <o:lock v:ext="edit" aspectratio="t"/>
                <w10:wrap type="none"/>
                <w10:anchorlock/>
              </v:rect>
            </w:pict>
          </mc:Fallback>
        </mc:AlternateContent>
      </w:r>
      <w:r>
        <w:rPr>
          <w:rFonts w:ascii="宋体" w:hAnsi="宋体" w:cs="宋体"/>
          <w:kern w:val="0"/>
        </w:rPr>
        <w:drawing>
          <wp:inline distT="0" distB="0" distL="0" distR="0">
            <wp:extent cx="4883150" cy="3812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925863" cy="3846337"/>
                    </a:xfrm>
                    <a:prstGeom prst="rect">
                      <a:avLst/>
                    </a:prstGeom>
                  </pic:spPr>
                </pic:pic>
              </a:graphicData>
            </a:graphic>
          </wp:inline>
        </w:drawing>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2.专业方向必修课和选修课由各培养院校根据公共管理学科范畴、院校自身办学特色和社会公共管理事业对于人才的培养需求，自行设计和设置。</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社会实践时间为三个月。社会实践应在教师的指导下进行，社会实践结束后，学生须提交社会实践报告。对于社会实践报告的具体要求，由各培养院校自行制定，总体上应致力于培养学生学以致用的素养和能力。各培养院校应安排缺乏公共管理实际工作经验的学生到政府部门或非政府公共机构进行社会实践。</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五、师资队伍</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各培养院校应逐步建立“双师型”师资队伍，即专职教师和兼职教师队伍。</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专职教师队伍是指本校编制内的全职教师。担任核心课的教师应为专职教师，并具有相关学科博士学位或副教授以上职称。每门核心课程原则上配备至少2名教师，同一名教师原则上不应作为不同核心课程的核心成员。兼职教师队伍要在专业方向课教学中发挥重要作用，参与专业方向学生培养的兼职教师原则上应不少于专业方向师资队伍的三分之一。各培养院校应选聘具有扎实理论功底、丰富实践经验的政府部门和其他公共机构的中高层领导干部担任兼职教师，并且确保他们积极参与学生的培养工作。</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各个专业方向必须有明确的师资团队承担教学任务。</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六、教学形式</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采用多元、互动的教学方式。综合运用讲授、研究、案例分析、体验、模拟等多种教学方法，把多种形式有机结合起来，着重培养学生分析问题和解决问题的能力。</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七、学位论文</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位论文应体现专业学位的特点，选题紧密结合公共管理实践中的具体问题，特别鼓励学生选择与自己的工作领域和工作岗位相关的问题展开论文研究。学生应该运用所学理论、知识和方法，展开调查研究与分析论述，并提出相关政策建议或改进管理的措施。</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学位论文应在导师指导下，经过开题、写作、答辩等环节完成。其中，论文开题时间应至少在答辩前半年进行，论文正文字数应在2万字以上。</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八、学位授予</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完成课程学习及社会实践环节，取得规定学分，并通过学位论文答辩者，经学位授予单位学位评定委员会审核，授予公共管理硕士专业学位。</w:t>
      </w:r>
    </w:p>
    <w:p>
      <w:pPr>
        <w:widowControl/>
        <w:spacing w:line="360" w:lineRule="auto"/>
        <w:jc w:val="left"/>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九、办学环境</w:t>
      </w:r>
      <w:bookmarkStart w:id="0" w:name="_GoBack"/>
      <w:bookmarkEnd w:id="0"/>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培养院校应为公共管理硕士（MPA）专业学位研究生提供与其他在校学术型研究生同等标准的办学环境和学习条件，包括硬件设施、教学投入、学习保障、后勤服务等。同时，根据公共管理硕士（MPA）专业学位研究生的教学特点，应特别注意加强案例分析和研讨所需相关设施的建设。</w:t>
      </w:r>
    </w:p>
    <w:p>
      <w:pPr>
        <w:spacing w:line="360" w:lineRule="auto"/>
      </w:pPr>
    </w:p>
    <w:sectPr>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14"/>
    <w:rsid w:val="000D5E35"/>
    <w:rsid w:val="00185031"/>
    <w:rsid w:val="00375315"/>
    <w:rsid w:val="004376BE"/>
    <w:rsid w:val="004E4783"/>
    <w:rsid w:val="00577DDF"/>
    <w:rsid w:val="00631C81"/>
    <w:rsid w:val="007A38E5"/>
    <w:rsid w:val="007D6E72"/>
    <w:rsid w:val="00860708"/>
    <w:rsid w:val="00AB5838"/>
    <w:rsid w:val="00DA51AC"/>
    <w:rsid w:val="00EE0B14"/>
    <w:rsid w:val="00F3060E"/>
    <w:rsid w:val="00F353F7"/>
    <w:rsid w:val="401A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character" w:styleId="7">
    <w:name w:val="Strong"/>
    <w:basedOn w:val="6"/>
    <w:qFormat/>
    <w:uiPriority w:val="22"/>
    <w:rPr>
      <w:b/>
      <w:bCs/>
    </w:r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253</Words>
  <Characters>1448</Characters>
  <Lines>12</Lines>
  <Paragraphs>3</Paragraphs>
  <TotalTime>3</TotalTime>
  <ScaleCrop>false</ScaleCrop>
  <LinksUpToDate>false</LinksUpToDate>
  <CharactersWithSpaces>1698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2019-06-06T05:37:00Z</dcterms:created>
  <dc:creator>kli</dc:creator>
  <cp:lastModifiedBy>娟儿啊</cp:lastModifiedBy>
  <dcterms:modified xsi:type="dcterms:W3CDTF">2020-01-07T02:51:18Z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